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0F3F7" w14:textId="77777777" w:rsidR="0032665F" w:rsidRPr="0032665F" w:rsidRDefault="0032665F" w:rsidP="0032665F">
      <w:pPr>
        <w:shd w:val="clear" w:color="auto" w:fill="FFFFFF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fr-FR"/>
        </w:rPr>
      </w:pPr>
      <w:r w:rsidRPr="0032665F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fr-FR"/>
        </w:rPr>
        <w:t>VDM vent debout contre les propositions du LME</w:t>
      </w:r>
    </w:p>
    <w:p w14:paraId="3B427873" w14:textId="77777777" w:rsidR="0032665F" w:rsidRPr="006F3CC4" w:rsidRDefault="0032665F" w:rsidP="0032665F">
      <w:pPr>
        <w:rPr>
          <w:rFonts w:eastAsia="Times New Roman" w:cstheme="minorHAnsi"/>
          <w:color w:val="000000" w:themeColor="text1"/>
          <w:lang w:eastAsia="fr-FR"/>
        </w:rPr>
      </w:pPr>
    </w:p>
    <w:p w14:paraId="4CA1F192" w14:textId="7D97952A" w:rsidR="0032665F" w:rsidRPr="0032665F" w:rsidRDefault="0032665F" w:rsidP="0032665F">
      <w:pPr>
        <w:rPr>
          <w:rFonts w:eastAsia="Times New Roman" w:cstheme="minorHAnsi"/>
          <w:color w:val="000000" w:themeColor="text1"/>
          <w:lang w:eastAsia="fr-FR"/>
        </w:rPr>
      </w:pPr>
      <w:r w:rsidRPr="0032665F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L’Association allemande des métaux non-ferreux, </w:t>
      </w:r>
      <w:proofErr w:type="spellStart"/>
      <w:r w:rsidRPr="0032665F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Verband</w:t>
      </w:r>
      <w:proofErr w:type="spellEnd"/>
      <w:r w:rsidRPr="0032665F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Deutscher </w:t>
      </w:r>
      <w:proofErr w:type="spellStart"/>
      <w:r w:rsidRPr="0032665F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Metallhändler</w:t>
      </w:r>
      <w:proofErr w:type="spellEnd"/>
      <w:r w:rsidRPr="0032665F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(VDM) estime que la bourse de Londres trahirait sa mission de service auprès du marché physique si elle mettait à exécution ses propositions de réforme, à savoir : fermer le ring, augmenter les coûts des échanges directes entre membres du LME, abaisser ceux des échanges électroniques (d’environ 50%) et modifier son mode de calcul des marges de compensation. VDM, qui représente environ 90% des acteurs de l’industrie des métaux non-ferreux d’Allemagne et d’Autriche, estime que ces propositions nuiraient à l’efficacité des opérations, affecteraient le niveau de liquidités, entraveraient l’octroi de lignes de crédit et augmenteraient les coûts d’opération sur le métal...</w:t>
      </w:r>
    </w:p>
    <w:p w14:paraId="20C37D04" w14:textId="77777777" w:rsidR="00BF1F6A" w:rsidRDefault="00BF1F6A"/>
    <w:sectPr w:rsidR="00BF1F6A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5F"/>
    <w:rsid w:val="000F156F"/>
    <w:rsid w:val="0032665F"/>
    <w:rsid w:val="006F3CC4"/>
    <w:rsid w:val="00B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ED30C6"/>
  <w15:chartTrackingRefBased/>
  <w15:docId w15:val="{BD6A5FF9-CB04-A74C-8F3C-E5B56F81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266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266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665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2665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nfoarticle">
    <w:name w:val="info_article"/>
    <w:basedOn w:val="Normal"/>
    <w:rsid w:val="003266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26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2</cp:revision>
  <dcterms:created xsi:type="dcterms:W3CDTF">2021-03-03T08:08:00Z</dcterms:created>
  <dcterms:modified xsi:type="dcterms:W3CDTF">2021-03-03T08:09:00Z</dcterms:modified>
</cp:coreProperties>
</file>